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9AF83" w14:textId="64766756" w:rsidR="002D30BF" w:rsidRPr="00C46C4D" w:rsidRDefault="0068388A" w:rsidP="00752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УДК 538.91</w:t>
      </w:r>
      <w:r w:rsidR="002D30BF" w:rsidRPr="00C46C4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671EF0C1" w14:textId="77777777" w:rsidR="002D30BF" w:rsidRPr="00C46C4D" w:rsidRDefault="002D30BF" w:rsidP="00752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0044A8B" w14:textId="1D8527D9" w:rsidR="002D30BF" w:rsidRPr="00C46C4D" w:rsidRDefault="008915FE" w:rsidP="00752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Влияние стадий гетерогенного </w:t>
      </w:r>
      <w:r w:rsidR="0068388A" w:rsidRPr="00C46C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роста на базовые характеристики слоев</w:t>
      </w:r>
    </w:p>
    <w:p w14:paraId="68749376" w14:textId="77777777" w:rsidR="00922999" w:rsidRPr="00C46C4D" w:rsidRDefault="00922999" w:rsidP="00752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6C6C6C"/>
          <w:sz w:val="20"/>
          <w:szCs w:val="20"/>
        </w:rPr>
      </w:pPr>
    </w:p>
    <w:p w14:paraId="63703261" w14:textId="3FCD0E20" w:rsidR="002D30BF" w:rsidRPr="00C46C4D" w:rsidRDefault="0068388A" w:rsidP="00752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Евдокимов В.Л.</w:t>
      </w:r>
      <w:r w:rsidR="002D30BF" w:rsidRPr="00C46C4D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1</w:t>
      </w:r>
      <w:r w:rsidR="00097A3A" w:rsidRPr="00C46C4D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,2</w:t>
      </w:r>
    </w:p>
    <w:p w14:paraId="624999E3" w14:textId="77777777" w:rsidR="002D30BF" w:rsidRPr="00C46C4D" w:rsidRDefault="002D30BF" w:rsidP="00752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CA193D3" w14:textId="25609938" w:rsidR="002D30BF" w:rsidRPr="00C46C4D" w:rsidRDefault="002D30BF" w:rsidP="00752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1</w:t>
      </w:r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АО «</w:t>
      </w:r>
      <w:r w:rsidR="0068388A" w:rsidRPr="00C46C4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Научно-исследовательский институт молекулярной электроники</w:t>
      </w:r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</w:rPr>
        <w:t>»</w:t>
      </w:r>
    </w:p>
    <w:p w14:paraId="58743D6F" w14:textId="1CDC35D8" w:rsidR="0068388A" w:rsidRPr="00C46C4D" w:rsidRDefault="0068388A" w:rsidP="00752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124460, Россия, Москва, Зеленоград, </w:t>
      </w:r>
      <w:r w:rsidR="00922999" w:rsidRPr="00C46C4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ул. Академика Валиева</w:t>
      </w:r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922999" w:rsidRPr="00C46C4D"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</w:rPr>
        <w:t>/1</w:t>
      </w:r>
    </w:p>
    <w:p w14:paraId="234A2FAA" w14:textId="580446D0" w:rsidR="002D30BF" w:rsidRPr="00C46C4D" w:rsidRDefault="00C83EC6" w:rsidP="00752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</w:rPr>
        <w:t>example@gmail.com</w:t>
      </w:r>
    </w:p>
    <w:p w14:paraId="02D52E37" w14:textId="41F4488F" w:rsidR="00C83EC6" w:rsidRPr="00C46C4D" w:rsidRDefault="00C83EC6" w:rsidP="00752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2</w:t>
      </w:r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Московский физи</w:t>
      </w:r>
      <w:r w:rsidR="0009493C" w:rsidRPr="00C46C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ко-технический институт (национальный </w:t>
      </w:r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исследовательский университет)</w:t>
      </w:r>
    </w:p>
    <w:p w14:paraId="0FBC842D" w14:textId="40FC2AB7" w:rsidR="00C83EC6" w:rsidRPr="00C46C4D" w:rsidRDefault="00C83EC6" w:rsidP="00C83E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141701, </w:t>
      </w:r>
      <w:r w:rsidR="00097A3A" w:rsidRPr="00C46C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Россия, </w:t>
      </w:r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Московская </w:t>
      </w:r>
      <w:proofErr w:type="spellStart"/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облаcть</w:t>
      </w:r>
      <w:proofErr w:type="spellEnd"/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</w:rPr>
        <w:t>, г. Долгопрудный, Институтский пер., 9</w:t>
      </w:r>
    </w:p>
    <w:p w14:paraId="79E269AF" w14:textId="77777777" w:rsidR="002D30BF" w:rsidRPr="00C46C4D" w:rsidRDefault="002D30BF" w:rsidP="00752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7DFD4DC4" w14:textId="77777777" w:rsidR="002D30BF" w:rsidRPr="00C46C4D" w:rsidRDefault="002D30BF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b/>
          <w:iCs/>
          <w:color w:val="000000"/>
          <w:sz w:val="20"/>
          <w:szCs w:val="20"/>
        </w:rPr>
        <w:t>Аннотация</w:t>
      </w:r>
    </w:p>
    <w:p w14:paraId="43884F68" w14:textId="38BDF0AC" w:rsidR="002D30BF" w:rsidRPr="00C46C4D" w:rsidRDefault="0068388A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color w:val="000000"/>
          <w:sz w:val="20"/>
          <w:szCs w:val="20"/>
        </w:rPr>
        <w:t>Рассмотрена молекулярно-кинетическая модель процесса осаждения слоев из газовой фазы для условий гетерогенно</w:t>
      </w:r>
      <w:r w:rsidR="008915FE" w:rsidRPr="00C46C4D">
        <w:rPr>
          <w:rFonts w:ascii="Times New Roman" w:hAnsi="Times New Roman" w:cs="Times New Roman"/>
          <w:color w:val="000000"/>
          <w:sz w:val="20"/>
          <w:szCs w:val="20"/>
        </w:rPr>
        <w:t>го роста. Модель включает схему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стадий процесса и выраже</w:t>
      </w:r>
      <w:r w:rsidR="00863CB6" w:rsidRPr="00C46C4D">
        <w:rPr>
          <w:rFonts w:ascii="Times New Roman" w:hAnsi="Times New Roman" w:cs="Times New Roman"/>
          <w:color w:val="000000"/>
          <w:sz w:val="20"/>
          <w:szCs w:val="20"/>
        </w:rPr>
        <w:t>ния для расчета их скоростей и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учитывает диффузию, адсорбцию и химическое превращение реагентов с образованием о</w:t>
      </w:r>
      <w:r w:rsidR="00752F41" w:rsidRPr="00C46C4D">
        <w:rPr>
          <w:rFonts w:ascii="Times New Roman" w:hAnsi="Times New Roman" w:cs="Times New Roman"/>
          <w:color w:val="000000"/>
          <w:sz w:val="20"/>
          <w:szCs w:val="20"/>
        </w:rPr>
        <w:t>сновного и побочного продуктов.</w:t>
      </w:r>
    </w:p>
    <w:p w14:paraId="09A3998F" w14:textId="77777777" w:rsidR="009C3564" w:rsidRPr="00C46C4D" w:rsidRDefault="009C3564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F5B1129" w14:textId="62DBD104" w:rsidR="002D30BF" w:rsidRPr="00C46C4D" w:rsidRDefault="002D30BF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Ключевые слова: </w:t>
      </w:r>
      <w:proofErr w:type="spellStart"/>
      <w:r w:rsidR="00274710" w:rsidRPr="00C46C4D">
        <w:rPr>
          <w:rFonts w:ascii="Times New Roman" w:hAnsi="Times New Roman" w:cs="Times New Roman"/>
          <w:bCs/>
          <w:color w:val="000000"/>
          <w:sz w:val="20"/>
          <w:szCs w:val="20"/>
        </w:rPr>
        <w:t>г</w:t>
      </w:r>
      <w:r w:rsidR="009C3564" w:rsidRPr="00C46C4D">
        <w:rPr>
          <w:rFonts w:ascii="Times New Roman" w:hAnsi="Times New Roman" w:cs="Times New Roman"/>
          <w:color w:val="000000"/>
          <w:sz w:val="20"/>
          <w:szCs w:val="20"/>
        </w:rPr>
        <w:t>азофазное</w:t>
      </w:r>
      <w:proofErr w:type="spellEnd"/>
      <w:r w:rsidR="009C3564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осаждение, гетерогенный </w:t>
      </w:r>
      <w:r w:rsidR="008915FE" w:rsidRPr="00C46C4D">
        <w:rPr>
          <w:rFonts w:ascii="Times New Roman" w:hAnsi="Times New Roman" w:cs="Times New Roman"/>
          <w:color w:val="000000"/>
          <w:sz w:val="20"/>
          <w:szCs w:val="20"/>
        </w:rPr>
        <w:t>рост, моделирование процесса,</w:t>
      </w:r>
      <w:r w:rsidR="00252029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252029" w:rsidRPr="00C46C4D">
        <w:rPr>
          <w:rFonts w:ascii="Times New Roman" w:hAnsi="Times New Roman" w:cs="Times New Roman"/>
          <w:color w:val="000000"/>
          <w:sz w:val="20"/>
          <w:szCs w:val="20"/>
        </w:rPr>
        <w:t>конформность</w:t>
      </w:r>
      <w:proofErr w:type="spellEnd"/>
      <w:r w:rsidR="009C3564" w:rsidRPr="00C46C4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C3564" w:rsidRPr="00C46C4D">
        <w:rPr>
          <w:rFonts w:ascii="Times New Roman" w:hAnsi="Times New Roman" w:cs="Times New Roman"/>
          <w:color w:val="000000"/>
          <w:sz w:val="20"/>
          <w:szCs w:val="20"/>
        </w:rPr>
        <w:t>примесность</w:t>
      </w:r>
      <w:proofErr w:type="spellEnd"/>
      <w:r w:rsidR="009C3564" w:rsidRPr="00C46C4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3AE3D91" w14:textId="77777777" w:rsidR="007078C6" w:rsidRPr="00C46C4D" w:rsidRDefault="007078C6" w:rsidP="00752F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6A5570" w14:textId="77777777" w:rsidR="009C3564" w:rsidRPr="00C46C4D" w:rsidRDefault="009C3564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Введение </w:t>
      </w:r>
    </w:p>
    <w:p w14:paraId="705C6F25" w14:textId="37DB7A6B" w:rsidR="009C3564" w:rsidRPr="00C46C4D" w:rsidRDefault="009C3564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При изготовлении микросхем широкое применение находят процессы </w:t>
      </w:r>
      <w:proofErr w:type="spellStart"/>
      <w:r w:rsidRPr="00C46C4D">
        <w:rPr>
          <w:rFonts w:ascii="Times New Roman" w:hAnsi="Times New Roman" w:cs="Times New Roman"/>
          <w:color w:val="000000"/>
          <w:sz w:val="20"/>
          <w:szCs w:val="20"/>
        </w:rPr>
        <w:t>газофазного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осаждения слоев SiO</w:t>
      </w:r>
      <w:r w:rsidRPr="00C46C4D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, Si</w:t>
      </w:r>
      <w:r w:rsidRPr="00C46C4D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C46C4D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4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46C4D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-поли, W, </w:t>
      </w:r>
      <w:proofErr w:type="spellStart"/>
      <w:r w:rsidRPr="00C46C4D">
        <w:rPr>
          <w:rFonts w:ascii="Times New Roman" w:hAnsi="Times New Roman" w:cs="Times New Roman"/>
          <w:color w:val="000000"/>
          <w:sz w:val="20"/>
          <w:szCs w:val="20"/>
        </w:rPr>
        <w:t>TiN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и других, формируемых способом термической активации реагентов [1-3]. Наиболее совершенные слои формируются в условиях гетерогенного роста, когда химическая реакция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в пограничном газовом слое подавлена. Реализация режима гетерогенного роста в существенной мере определяется термохимическими характеристиками исходных реагентов [4]. Для этих условий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актуальна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разработка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соответствующей кинетической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схемы и аналитической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модели, позволяющих прояснить внутренние механизмы процесса формирования слоев и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прогнозировать их базовые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характеристики.</w:t>
      </w:r>
    </w:p>
    <w:p w14:paraId="72E1EA92" w14:textId="77777777" w:rsidR="009C3564" w:rsidRPr="00C46C4D" w:rsidRDefault="009C3564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520C6E5" w14:textId="77777777" w:rsidR="009C3564" w:rsidRPr="00C46C4D" w:rsidRDefault="009C3564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b/>
          <w:color w:val="000000"/>
          <w:sz w:val="20"/>
          <w:szCs w:val="20"/>
        </w:rPr>
        <w:t>Кинетическая схема процесса гетерогенного осаждения</w:t>
      </w:r>
    </w:p>
    <w:p w14:paraId="757AFAC2" w14:textId="0019F696" w:rsidR="009C3564" w:rsidRPr="00C46C4D" w:rsidRDefault="009C3564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color w:val="000000"/>
          <w:sz w:val="20"/>
          <w:szCs w:val="20"/>
        </w:rPr>
        <w:t>В соответствии с пре</w:t>
      </w:r>
      <w:r w:rsidR="00AE546F" w:rsidRPr="00C46C4D">
        <w:rPr>
          <w:rFonts w:ascii="Times New Roman" w:hAnsi="Times New Roman" w:cs="Times New Roman"/>
          <w:color w:val="000000"/>
          <w:sz w:val="20"/>
          <w:szCs w:val="20"/>
        </w:rPr>
        <w:t>длагаемой кинетической схемой (р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ис</w:t>
      </w:r>
      <w:r w:rsidR="00AE546F" w:rsidRPr="00C46C4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1), процесс гетерогенного роста включают в себя диффузию реагента </w:t>
      </w:r>
      <w:proofErr w:type="spellStart"/>
      <w:r w:rsidR="00F06C23" w:rsidRPr="00C46C4D">
        <w:rPr>
          <w:rFonts w:ascii="Times New Roman" w:hAnsi="Times New Roman" w:cs="Times New Roman"/>
          <w:i/>
          <w:color w:val="000000"/>
          <w:sz w:val="20"/>
          <w:szCs w:val="20"/>
        </w:rPr>
        <w:t>G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v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через пограничный слой δ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(скорость </w:t>
      </w:r>
      <w:proofErr w:type="spellStart"/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r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g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>), физическую адсорбцию (</w:t>
      </w:r>
      <w:proofErr w:type="spellStart"/>
      <w:r w:rsidR="00F06C23" w:rsidRPr="00C46C4D">
        <w:rPr>
          <w:rFonts w:ascii="Times New Roman" w:hAnsi="Times New Roman" w:cs="Times New Roman"/>
          <w:i/>
          <w:color w:val="000000"/>
          <w:sz w:val="20"/>
          <w:szCs w:val="20"/>
        </w:rPr>
        <w:t>r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ga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) приповерхностного реагента </w:t>
      </w:r>
      <w:proofErr w:type="spellStart"/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G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s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с формированием концентрации молекул </w:t>
      </w:r>
      <w:proofErr w:type="spellStart"/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G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a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на центрах адсорбции, а также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мобильных молекул </w:t>
      </w:r>
      <w:proofErr w:type="spellStart"/>
      <w:r w:rsidRPr="00C46C4D">
        <w:rPr>
          <w:rFonts w:ascii="Times New Roman" w:hAnsi="Times New Roman" w:cs="Times New Roman"/>
          <w:b/>
          <w:i/>
          <w:color w:val="000000"/>
          <w:sz w:val="20"/>
          <w:szCs w:val="20"/>
        </w:rPr>
        <w:t>G</w:t>
      </w:r>
      <w:r w:rsidRPr="00C46C4D">
        <w:rPr>
          <w:rFonts w:ascii="Times New Roman" w:hAnsi="Times New Roman" w:cs="Times New Roman"/>
          <w:b/>
          <w:i/>
          <w:color w:val="000000"/>
          <w:sz w:val="20"/>
          <w:szCs w:val="20"/>
          <w:vertAlign w:val="subscript"/>
        </w:rPr>
        <w:t>m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, диффундирующих по поверхности и находящихся с первыми в соотношении 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ϰ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Адсорбированные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на центрах и мобильные молекулы химически превращаются (</w:t>
      </w:r>
      <w:proofErr w:type="spellStart"/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r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sa</w:t>
      </w:r>
      <w:r w:rsidRPr="00C46C4D">
        <w:rPr>
          <w:rFonts w:ascii="Times New Roman" w:hAnsi="Times New Roman" w:cs="Times New Roman"/>
          <w:b/>
          <w:color w:val="000000"/>
          <w:sz w:val="20"/>
          <w:szCs w:val="20"/>
          <w:vertAlign w:val="subscript"/>
        </w:rPr>
        <w:t>а</w:t>
      </w:r>
      <w:proofErr w:type="spellEnd"/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proofErr w:type="spellStart"/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r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sm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>) в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основной продукт S с образованием (</w:t>
      </w:r>
      <w:proofErr w:type="spellStart"/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r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i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) побочного продукта </w:t>
      </w:r>
      <w:proofErr w:type="spellStart"/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I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r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экзотермическом процессе летучие молекулы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побочного продукта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активно </w:t>
      </w:r>
      <w:proofErr w:type="spellStart"/>
      <w:r w:rsidRPr="00C46C4D">
        <w:rPr>
          <w:rFonts w:ascii="Times New Roman" w:hAnsi="Times New Roman" w:cs="Times New Roman"/>
          <w:color w:val="000000"/>
          <w:sz w:val="20"/>
          <w:szCs w:val="20"/>
        </w:rPr>
        <w:t>десорбируются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r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id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>), и при концентрации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I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s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у поверхности часть их равновесно </w:t>
      </w:r>
      <w:proofErr w:type="spellStart"/>
      <w:r w:rsidRPr="00C46C4D">
        <w:rPr>
          <w:rFonts w:ascii="Times New Roman" w:hAnsi="Times New Roman" w:cs="Times New Roman"/>
          <w:color w:val="000000"/>
          <w:sz w:val="20"/>
          <w:szCs w:val="20"/>
        </w:rPr>
        <w:t>реадсорбируется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r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ia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>). Другая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часть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диффундирует (</w:t>
      </w:r>
      <w:proofErr w:type="spellStart"/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r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di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C46C4D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наружу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пограничного слоя, где их концентрация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I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v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09F2CDD4" w14:textId="77CCBEA2" w:rsidR="009C3564" w:rsidRPr="00C46C4D" w:rsidRDefault="009C3564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color w:val="000000"/>
          <w:sz w:val="20"/>
          <w:szCs w:val="20"/>
        </w:rPr>
        <w:t>Сформулированы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следующие выражения для скоростей стадий:</w:t>
      </w:r>
    </w:p>
    <w:p w14:paraId="42CF007A" w14:textId="77777777" w:rsidR="009C3564" w:rsidRPr="00C46C4D" w:rsidRDefault="009C3564" w:rsidP="00752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9D8A18E" w14:textId="67C0BC10" w:rsidR="009C3564" w:rsidRPr="00C46C4D" w:rsidRDefault="00855A92" w:rsidP="00752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g</m:t>
              </m:r>
            </m:sub>
          </m:sSub>
          <m:r>
            <w:rPr>
              <w:rFonts w:ascii="Cambria Math" w:hAnsi="Cambria Math" w:cs="Times New Roman"/>
              <w:color w:val="000000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v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 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g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δ</m:t>
              </m:r>
            </m:den>
          </m:f>
        </m:oMath>
      </m:oMathPara>
      <w:bookmarkStart w:id="0" w:name="_GoBack"/>
      <w:bookmarkEnd w:id="0"/>
    </w:p>
    <w:p w14:paraId="7A61FB5D" w14:textId="6FD7CCFD" w:rsidR="00D96119" w:rsidRPr="00C46C4D" w:rsidRDefault="00855A92" w:rsidP="00752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ga</m:t>
              </m:r>
            </m:sub>
          </m:sSub>
          <m:r>
            <w:rPr>
              <w:rFonts w:ascii="Cambria Math" w:hAnsi="Cambria Math" w:cs="Times New Roman"/>
              <w:color w:val="000000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v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g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6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Q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RT</m:t>
                  </m:r>
                </m:den>
              </m:f>
            </m:sup>
          </m:sSup>
        </m:oMath>
      </m:oMathPara>
    </w:p>
    <w:p w14:paraId="2A41E54C" w14:textId="2E0ED063" w:rsidR="00D96119" w:rsidRPr="00C46C4D" w:rsidRDefault="00855A92" w:rsidP="00752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sa</m:t>
              </m:r>
            </m:sub>
          </m:sSub>
          <m:r>
            <w:rPr>
              <w:rFonts w:ascii="Cambria Math" w:hAnsi="Cambria Math" w:cs="Times New Roman"/>
              <w:color w:val="000000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a</m:t>
              </m:r>
            </m:sub>
          </m:sSub>
          <m:r>
            <w:rPr>
              <w:rFonts w:ascii="Cambria Math" w:hAnsi="Cambria Math" w:cs="Times New Roman"/>
              <w:color w:val="000000"/>
              <w:sz w:val="20"/>
              <w:szCs w:val="20"/>
            </w:rPr>
            <m:t>(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2d</m:t>
              </m:r>
            </m:den>
          </m:f>
          <m:r>
            <w:rPr>
              <w:rFonts w:ascii="Cambria Math" w:hAnsi="Cambria Math" w:cs="Times New Roman"/>
              <w:color w:val="000000"/>
              <w:sz w:val="20"/>
              <w:szCs w:val="20"/>
            </w:rPr>
            <m:t>)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-E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RT</m:t>
                  </m:r>
                </m:den>
              </m:f>
            </m:sup>
          </m:sSup>
        </m:oMath>
      </m:oMathPara>
    </w:p>
    <w:p w14:paraId="4FFB567A" w14:textId="6716EB94" w:rsidR="00D96119" w:rsidRPr="00C46C4D" w:rsidRDefault="00855A92" w:rsidP="00752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sm</m:t>
              </m:r>
            </m:sub>
          </m:sSub>
          <m:r>
            <w:rPr>
              <w:rFonts w:ascii="Cambria Math" w:hAnsi="Cambria Math" w:cs="Times New Roman"/>
              <w:color w:val="000000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sa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ϰ</m:t>
              </m:r>
            </m:den>
          </m:f>
        </m:oMath>
      </m:oMathPara>
    </w:p>
    <w:p w14:paraId="546C32F6" w14:textId="7E3F3701" w:rsidR="00D96119" w:rsidRPr="00C46C4D" w:rsidRDefault="00855A92" w:rsidP="00752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ia</m:t>
              </m:r>
            </m:sub>
          </m:sSub>
          <m:r>
            <w:rPr>
              <w:rFonts w:ascii="Cambria Math" w:hAnsi="Cambria Math" w:cs="Times New Roman"/>
              <w:color w:val="000000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0"/>
                  <w:szCs w:val="20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sa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 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sm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)v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δ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 + v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ia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)</m:t>
              </m:r>
            </m:den>
          </m:f>
        </m:oMath>
      </m:oMathPara>
    </w:p>
    <w:p w14:paraId="5CEB1C71" w14:textId="50C1E00D" w:rsidR="009C3564" w:rsidRPr="00C46C4D" w:rsidRDefault="009C3564" w:rsidP="00066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где 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D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– коэффициент диффузии реагента и побочного продукта, 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v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– тепл</w:t>
      </w:r>
      <w:r w:rsidR="00F83DB9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овая скорость молекул в газе, </w:t>
      </w:r>
      <w:proofErr w:type="spellStart"/>
      <w:r w:rsidR="00F83DB9" w:rsidRPr="00C46C4D">
        <w:rPr>
          <w:rFonts w:ascii="Times New Roman" w:hAnsi="Times New Roman" w:cs="Times New Roman"/>
          <w:i/>
          <w:color w:val="000000"/>
          <w:sz w:val="20"/>
          <w:szCs w:val="20"/>
        </w:rPr>
        <w:t>v</w:t>
      </w:r>
      <w:r w:rsidR="00F83DB9"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s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– скорость молекул газа на поверхности, </w:t>
      </w:r>
      <w:proofErr w:type="spellStart"/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k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g</w:t>
      </w:r>
      <w:proofErr w:type="spellEnd"/>
      <w:r w:rsidR="00F83DB9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– коэффициент прилипания, </w:t>
      </w:r>
      <w:proofErr w:type="spellStart"/>
      <w:r w:rsidR="00F83DB9" w:rsidRPr="00C46C4D">
        <w:rPr>
          <w:rFonts w:ascii="Times New Roman" w:hAnsi="Times New Roman" w:cs="Times New Roman"/>
          <w:i/>
          <w:color w:val="000000"/>
          <w:sz w:val="20"/>
          <w:szCs w:val="20"/>
        </w:rPr>
        <w:t>b,c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– стехиометрические коэффициенты реакции образования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основного и побочного продуктов, 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Q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– теплота адсорбции реагента, </w:t>
      </w:r>
      <w:proofErr w:type="spellStart"/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Q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i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– теплота адсорбции побочного продукта, 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E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– энергия активации химической реакции, 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d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– диаметр молекул реагента, 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T</w:t>
      </w:r>
      <w:r w:rsidR="00F83DB9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–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83DB9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температура подложки, </w:t>
      </w:r>
      <w:r w:rsidR="00F83DB9" w:rsidRPr="00C46C4D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R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– универсальная газовая постоянная, </w:t>
      </w:r>
      <w:proofErr w:type="spellStart"/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e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ia</w:t>
      </w:r>
      <w:proofErr w:type="spellEnd"/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= e</w:t>
      </w:r>
      <w:r w:rsidR="00E158AC"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  <w:lang w:val="en-US"/>
        </w:rPr>
        <w:t>Q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i</w:t>
      </w:r>
      <w:r w:rsidR="00E158AC"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– </w:t>
      </w:r>
      <w:proofErr w:type="spellStart"/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ΔHi</w:t>
      </w:r>
      <w:proofErr w:type="spellEnd"/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ΔH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i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– удельный экзотермический эффект образования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побочного продукта.</w:t>
      </w:r>
    </w:p>
    <w:p w14:paraId="42AEF75D" w14:textId="7753A337" w:rsidR="009C3564" w:rsidRPr="00C46C4D" w:rsidRDefault="009C3564" w:rsidP="00752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0" distB="0" distL="0" distR="0" wp14:anchorId="43739B8C" wp14:editId="3057FFA3">
            <wp:extent cx="4231005" cy="23901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547C3B" w14:textId="7F157E8D" w:rsidR="009C3564" w:rsidRPr="00C46C4D" w:rsidRDefault="00863CB6" w:rsidP="00752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color w:val="000000"/>
          <w:sz w:val="20"/>
          <w:szCs w:val="20"/>
        </w:rPr>
        <w:t>Рис</w:t>
      </w:r>
      <w:r w:rsidR="00AE546F" w:rsidRPr="00C46C4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1. Кинетическая схема </w:t>
      </w:r>
      <w:r w:rsidR="009C3564" w:rsidRPr="00C46C4D">
        <w:rPr>
          <w:rFonts w:ascii="Times New Roman" w:hAnsi="Times New Roman" w:cs="Times New Roman"/>
          <w:color w:val="000000"/>
          <w:sz w:val="20"/>
          <w:szCs w:val="20"/>
        </w:rPr>
        <w:t>процесса осаждения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C3564" w:rsidRPr="00C46C4D">
        <w:rPr>
          <w:rFonts w:ascii="Times New Roman" w:hAnsi="Times New Roman" w:cs="Times New Roman"/>
          <w:color w:val="000000"/>
          <w:sz w:val="20"/>
          <w:szCs w:val="20"/>
        </w:rPr>
        <w:t>в гетерогенном режиме.</w:t>
      </w:r>
    </w:p>
    <w:p w14:paraId="3D2ECE48" w14:textId="77777777" w:rsidR="009C3564" w:rsidRPr="00C46C4D" w:rsidRDefault="009C3564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7AC7ABF" w14:textId="4CF83CD9" w:rsidR="009C3564" w:rsidRPr="00C46C4D" w:rsidRDefault="009C3564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Соотношение скоростей </w:t>
      </w:r>
      <w:proofErr w:type="spellStart"/>
      <w:r w:rsidRPr="00C46C4D">
        <w:rPr>
          <w:rFonts w:ascii="Times New Roman" w:hAnsi="Times New Roman" w:cs="Times New Roman"/>
          <w:b/>
          <w:i/>
          <w:color w:val="000000"/>
          <w:sz w:val="20"/>
          <w:szCs w:val="20"/>
        </w:rPr>
        <w:t>r</w:t>
      </w:r>
      <w:r w:rsidRPr="00C46C4D">
        <w:rPr>
          <w:rFonts w:ascii="Times New Roman" w:hAnsi="Times New Roman" w:cs="Times New Roman"/>
          <w:b/>
          <w:i/>
          <w:color w:val="000000"/>
          <w:sz w:val="20"/>
          <w:szCs w:val="20"/>
          <w:vertAlign w:val="subscript"/>
        </w:rPr>
        <w:t>sа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и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C46C4D">
        <w:rPr>
          <w:rFonts w:ascii="Times New Roman" w:hAnsi="Times New Roman" w:cs="Times New Roman"/>
          <w:b/>
          <w:i/>
          <w:color w:val="000000"/>
          <w:sz w:val="20"/>
          <w:szCs w:val="20"/>
        </w:rPr>
        <w:t>r</w:t>
      </w:r>
      <w:r w:rsidRPr="00C46C4D">
        <w:rPr>
          <w:rFonts w:ascii="Times New Roman" w:hAnsi="Times New Roman" w:cs="Times New Roman"/>
          <w:b/>
          <w:i/>
          <w:color w:val="000000"/>
          <w:sz w:val="20"/>
          <w:szCs w:val="20"/>
          <w:vertAlign w:val="subscript"/>
        </w:rPr>
        <w:t>sm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отражает способность процесса к сглаживанию собственного микрорельефа слоя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влияет на </w:t>
      </w:r>
      <w:proofErr w:type="spellStart"/>
      <w:r w:rsidRPr="00C46C4D">
        <w:rPr>
          <w:rFonts w:ascii="Times New Roman" w:hAnsi="Times New Roman" w:cs="Times New Roman"/>
          <w:color w:val="000000"/>
          <w:sz w:val="20"/>
          <w:szCs w:val="20"/>
        </w:rPr>
        <w:t>конформность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на топологическом рельефе, а отношение скорости </w:t>
      </w:r>
      <w:proofErr w:type="spellStart"/>
      <w:r w:rsidRPr="00C46C4D">
        <w:rPr>
          <w:rFonts w:ascii="Times New Roman" w:hAnsi="Times New Roman" w:cs="Times New Roman"/>
          <w:i/>
          <w:color w:val="000000"/>
          <w:sz w:val="20"/>
          <w:szCs w:val="20"/>
        </w:rPr>
        <w:t>r</w:t>
      </w:r>
      <w:r w:rsidRPr="00C46C4D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ia</w:t>
      </w:r>
      <w:proofErr w:type="spellEnd"/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к сумме указанных скоростей определяет степень </w:t>
      </w:r>
      <w:proofErr w:type="spellStart"/>
      <w:r w:rsidRPr="00C46C4D">
        <w:rPr>
          <w:rFonts w:ascii="Times New Roman" w:hAnsi="Times New Roman" w:cs="Times New Roman"/>
          <w:color w:val="000000"/>
          <w:sz w:val="20"/>
          <w:szCs w:val="20"/>
        </w:rPr>
        <w:t>примесности</w:t>
      </w:r>
      <w:proofErr w:type="spellEnd"/>
      <w:r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по побочному продукту. Оценка указанных характеристик на примере осаждения оксида кремния дает значения, соответственно,</w:t>
      </w:r>
      <w:r w:rsidR="007D474D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57-82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>% и 5</w:t>
      </w:r>
      <w:r w:rsidR="005A44C2" w:rsidRPr="00C46C4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>8·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Pr="00C46C4D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-5</w:t>
      </w:r>
      <w:r w:rsidR="00863CB6" w:rsidRPr="00C46C4D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A44C2" w:rsidRPr="00C46C4D">
        <w:rPr>
          <w:rFonts w:ascii="Times New Roman" w:hAnsi="Times New Roman" w:cs="Times New Roman"/>
          <w:color w:val="000000"/>
          <w:sz w:val="20"/>
          <w:szCs w:val="20"/>
        </w:rPr>
        <w:t>4,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>·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="00733829" w:rsidRPr="00C46C4D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-</w:t>
      </w:r>
      <w:r w:rsidRPr="00C46C4D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% в зависимости от термохимических свойств реагентов.</w:t>
      </w:r>
    </w:p>
    <w:p w14:paraId="7CD32EEA" w14:textId="77777777" w:rsidR="009C3564" w:rsidRPr="00C46C4D" w:rsidRDefault="009C3564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EEDBC04" w14:textId="1CD5AAC0" w:rsidR="009C3564" w:rsidRPr="00C46C4D" w:rsidRDefault="009C3564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b/>
          <w:color w:val="000000"/>
          <w:sz w:val="20"/>
          <w:szCs w:val="20"/>
        </w:rPr>
        <w:t>Заключение</w:t>
      </w:r>
      <w:r w:rsidR="009A1A92" w:rsidRPr="00C46C4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2CB63F73" w14:textId="7D6C5BC8" w:rsidR="002D30BF" w:rsidRPr="00C46C4D" w:rsidRDefault="009C3564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C4D">
        <w:rPr>
          <w:rFonts w:ascii="Times New Roman" w:hAnsi="Times New Roman" w:cs="Times New Roman"/>
          <w:color w:val="000000"/>
          <w:sz w:val="20"/>
          <w:szCs w:val="20"/>
        </w:rPr>
        <w:t>Оценка скоростей стадий и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показателей качества слоев показывает удовлетворительное соответствие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модели наблюдаемым закономерностям роста и характеристикам слоев, осаждаемых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в гетерогенном режиме.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Модель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</w:rPr>
        <w:t>может быть применена для анализа процессов осаждения и прогнозирования базовых характеристик слоев, формируемых из реагентов с различными термохимическими свойствами.</w:t>
      </w:r>
    </w:p>
    <w:p w14:paraId="4CBBC44A" w14:textId="77777777" w:rsidR="009C3564" w:rsidRPr="00C46C4D" w:rsidRDefault="009C3564" w:rsidP="00752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66ACE5A8" w14:textId="77777777" w:rsidR="002D30BF" w:rsidRPr="00C46C4D" w:rsidRDefault="002D30BF" w:rsidP="00752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C46C4D">
        <w:rPr>
          <w:rFonts w:ascii="Times New Roman" w:hAnsi="Times New Roman" w:cs="Times New Roman"/>
          <w:b/>
          <w:bCs/>
          <w:iCs/>
          <w:sz w:val="20"/>
          <w:szCs w:val="20"/>
        </w:rPr>
        <w:t>Литература</w:t>
      </w:r>
    </w:p>
    <w:p w14:paraId="1B5E6ADB" w14:textId="623E54A8" w:rsidR="009C3564" w:rsidRPr="00C46C4D" w:rsidRDefault="00320DDA" w:rsidP="00320D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C4D">
        <w:rPr>
          <w:rFonts w:ascii="Times New Roman" w:hAnsi="Times New Roman" w:cs="Times New Roman"/>
          <w:sz w:val="20"/>
          <w:szCs w:val="20"/>
        </w:rPr>
        <w:t>1.</w:t>
      </w:r>
      <w:r w:rsidRPr="00C46C4D">
        <w:rPr>
          <w:rFonts w:ascii="Times New Roman" w:hAnsi="Times New Roman" w:cs="Times New Roman"/>
          <w:sz w:val="20"/>
          <w:szCs w:val="20"/>
        </w:rPr>
        <w:tab/>
      </w:r>
      <w:r w:rsidR="009C3564" w:rsidRPr="00C46C4D">
        <w:rPr>
          <w:rFonts w:ascii="Times New Roman" w:hAnsi="Times New Roman" w:cs="Times New Roman"/>
          <w:sz w:val="20"/>
          <w:szCs w:val="20"/>
        </w:rPr>
        <w:t xml:space="preserve">Красников Г. Я. Конструктивно-технологические особенности субмикронных МОП транзисторов. – Акционерное общество" Рекламно-издательский центр" ТЕХНОСФЕРА", 2002. – С. 413-413. </w:t>
      </w:r>
    </w:p>
    <w:p w14:paraId="7E6607F2" w14:textId="720F8513" w:rsidR="002D30BF" w:rsidRPr="00C46C4D" w:rsidRDefault="00320DDA" w:rsidP="00320D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46C4D">
        <w:rPr>
          <w:rFonts w:ascii="Times New Roman" w:hAnsi="Times New Roman" w:cs="Times New Roman"/>
          <w:sz w:val="20"/>
          <w:szCs w:val="20"/>
          <w:lang w:val="en-US"/>
        </w:rPr>
        <w:t>2.</w:t>
      </w:r>
      <w:r w:rsidRPr="00C46C4D">
        <w:rPr>
          <w:rFonts w:ascii="Times New Roman" w:hAnsi="Times New Roman" w:cs="Times New Roman"/>
          <w:sz w:val="20"/>
          <w:szCs w:val="20"/>
          <w:lang w:val="en-US"/>
        </w:rPr>
        <w:tab/>
      </w:r>
      <w:r w:rsidR="009C3564" w:rsidRPr="00C46C4D">
        <w:rPr>
          <w:rFonts w:ascii="Times New Roman" w:hAnsi="Times New Roman" w:cs="Times New Roman"/>
          <w:sz w:val="20"/>
          <w:szCs w:val="20"/>
          <w:lang w:val="en-US"/>
        </w:rPr>
        <w:t xml:space="preserve">Pierson H. O. Handbook of chemical vapor deposition: principles, technology and applications. – William Andrew, 1999 – </w:t>
      </w:r>
      <w:r w:rsidR="009C3564" w:rsidRPr="00C46C4D">
        <w:rPr>
          <w:rFonts w:ascii="Times New Roman" w:hAnsi="Times New Roman" w:cs="Times New Roman"/>
          <w:sz w:val="20"/>
          <w:szCs w:val="20"/>
        </w:rPr>
        <w:t>С</w:t>
      </w:r>
      <w:r w:rsidR="009C3564" w:rsidRPr="00C46C4D">
        <w:rPr>
          <w:rFonts w:ascii="Times New Roman" w:hAnsi="Times New Roman" w:cs="Times New Roman"/>
          <w:sz w:val="20"/>
          <w:szCs w:val="20"/>
          <w:lang w:val="en-US"/>
        </w:rPr>
        <w:t>. 227-242</w:t>
      </w:r>
    </w:p>
    <w:p w14:paraId="3B8ABFC4" w14:textId="06CB322F" w:rsidR="009C3564" w:rsidRPr="00C46C4D" w:rsidRDefault="00320DDA" w:rsidP="00320D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C4D">
        <w:rPr>
          <w:rFonts w:ascii="Times New Roman" w:hAnsi="Times New Roman" w:cs="Times New Roman"/>
          <w:sz w:val="20"/>
          <w:szCs w:val="20"/>
        </w:rPr>
        <w:t>3.</w:t>
      </w:r>
      <w:r w:rsidRPr="00C46C4D">
        <w:rPr>
          <w:rFonts w:ascii="Times New Roman" w:hAnsi="Times New Roman" w:cs="Times New Roman"/>
          <w:sz w:val="20"/>
          <w:szCs w:val="20"/>
        </w:rPr>
        <w:tab/>
      </w:r>
      <w:r w:rsidR="009C3564" w:rsidRPr="00C46C4D">
        <w:rPr>
          <w:rFonts w:ascii="Times New Roman" w:hAnsi="Times New Roman" w:cs="Times New Roman"/>
          <w:sz w:val="20"/>
          <w:szCs w:val="20"/>
        </w:rPr>
        <w:t>Васильев В. Ю., Репинский С. М. Осаждение диэлектрических слоев из газовой фазы //Успехи химии. – 2005. – Т. 74. – №. 5. – С. 452-483.</w:t>
      </w:r>
    </w:p>
    <w:p w14:paraId="1507B0EB" w14:textId="04E272D3" w:rsidR="009C3564" w:rsidRPr="00C46C4D" w:rsidRDefault="009C3564" w:rsidP="00320D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46C4D">
        <w:rPr>
          <w:rFonts w:ascii="Times New Roman" w:hAnsi="Times New Roman" w:cs="Times New Roman"/>
          <w:sz w:val="20"/>
          <w:szCs w:val="20"/>
        </w:rPr>
        <w:t>4.</w:t>
      </w:r>
      <w:r w:rsidR="00320DDA" w:rsidRPr="00C46C4D">
        <w:rPr>
          <w:rFonts w:ascii="Times New Roman" w:hAnsi="Times New Roman" w:cs="Times New Roman"/>
          <w:sz w:val="20"/>
          <w:szCs w:val="20"/>
        </w:rPr>
        <w:tab/>
      </w:r>
      <w:r w:rsidRPr="00C46C4D">
        <w:rPr>
          <w:rFonts w:ascii="Times New Roman" w:hAnsi="Times New Roman" w:cs="Times New Roman"/>
          <w:sz w:val="20"/>
          <w:szCs w:val="20"/>
        </w:rPr>
        <w:t>Евдокимов В. Л. Молекулярно-кинетическая модель процесса осаждения слоев из газовой фазы //Электронная техника. Серия</w:t>
      </w:r>
      <w:r w:rsidRPr="00C46C4D">
        <w:rPr>
          <w:rFonts w:ascii="Times New Roman" w:hAnsi="Times New Roman" w:cs="Times New Roman"/>
          <w:sz w:val="20"/>
          <w:szCs w:val="20"/>
          <w:lang w:val="en-US"/>
        </w:rPr>
        <w:t xml:space="preserve"> 3: </w:t>
      </w:r>
      <w:r w:rsidRPr="00C46C4D">
        <w:rPr>
          <w:rFonts w:ascii="Times New Roman" w:hAnsi="Times New Roman" w:cs="Times New Roman"/>
          <w:sz w:val="20"/>
          <w:szCs w:val="20"/>
        </w:rPr>
        <w:t>Микроэлектроника</w:t>
      </w:r>
      <w:r w:rsidRPr="00C46C4D">
        <w:rPr>
          <w:rFonts w:ascii="Times New Roman" w:hAnsi="Times New Roman" w:cs="Times New Roman"/>
          <w:sz w:val="20"/>
          <w:szCs w:val="20"/>
          <w:lang w:val="en-US"/>
        </w:rPr>
        <w:t xml:space="preserve">. – 2017. – №. 4. – </w:t>
      </w:r>
      <w:r w:rsidRPr="00C46C4D">
        <w:rPr>
          <w:rFonts w:ascii="Times New Roman" w:hAnsi="Times New Roman" w:cs="Times New Roman"/>
          <w:sz w:val="20"/>
          <w:szCs w:val="20"/>
        </w:rPr>
        <w:t>С</w:t>
      </w:r>
      <w:r w:rsidRPr="00C46C4D">
        <w:rPr>
          <w:rFonts w:ascii="Times New Roman" w:hAnsi="Times New Roman" w:cs="Times New Roman"/>
          <w:sz w:val="20"/>
          <w:szCs w:val="20"/>
          <w:lang w:val="en-US"/>
        </w:rPr>
        <w:t>. 42-55.</w:t>
      </w:r>
    </w:p>
    <w:p w14:paraId="2B4BC899" w14:textId="77777777" w:rsidR="00286390" w:rsidRPr="00C46C4D" w:rsidRDefault="00286390" w:rsidP="00752F41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</w:p>
    <w:p w14:paraId="6FB754F0" w14:textId="780CB45F" w:rsidR="002D30BF" w:rsidRPr="00C46C4D" w:rsidRDefault="00B526CC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Полужирный" w:hAnsi="Times New Roman Полужирный" w:cs="Times New Roman"/>
          <w:b/>
          <w:bCs/>
          <w:sz w:val="20"/>
          <w:szCs w:val="20"/>
          <w:lang w:val="en-US"/>
        </w:rPr>
      </w:pPr>
      <w:r w:rsidRPr="00C46C4D">
        <w:rPr>
          <w:rFonts w:ascii="Times New Roman Полужирный" w:hAnsi="Times New Roman Полужирный" w:cs="Times New Roman"/>
          <w:b/>
          <w:bCs/>
          <w:sz w:val="20"/>
          <w:szCs w:val="20"/>
          <w:lang w:val="en-US"/>
        </w:rPr>
        <w:t>Influence of heterogeneous growth</w:t>
      </w:r>
      <w:r w:rsidR="009A1A92" w:rsidRPr="00C46C4D">
        <w:rPr>
          <w:rFonts w:ascii="Times New Roman Полужирный" w:hAnsi="Times New Roman Полужирный" w:cs="Times New Roman"/>
          <w:b/>
          <w:bCs/>
          <w:sz w:val="20"/>
          <w:szCs w:val="20"/>
          <w:lang w:val="en-US"/>
        </w:rPr>
        <w:t xml:space="preserve"> </w:t>
      </w:r>
      <w:r w:rsidRPr="00C46C4D">
        <w:rPr>
          <w:rFonts w:ascii="Times New Roman Полужирный" w:hAnsi="Times New Roman Полужирный" w:cs="Times New Roman"/>
          <w:b/>
          <w:bCs/>
          <w:sz w:val="20"/>
          <w:szCs w:val="20"/>
          <w:lang w:val="en-US"/>
        </w:rPr>
        <w:t>stages on the basic characteristics of layers</w:t>
      </w:r>
    </w:p>
    <w:p w14:paraId="2D989283" w14:textId="77777777" w:rsidR="001F72AA" w:rsidRPr="00C46C4D" w:rsidRDefault="001F72AA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color w:val="6C6C6C"/>
          <w:sz w:val="20"/>
          <w:szCs w:val="20"/>
          <w:lang w:val="en-US"/>
        </w:rPr>
      </w:pPr>
    </w:p>
    <w:p w14:paraId="6742758B" w14:textId="2B88E1E6" w:rsidR="002D30BF" w:rsidRPr="00C46C4D" w:rsidRDefault="00B526CC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proofErr w:type="spellStart"/>
      <w:r w:rsidRPr="00C46C4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Evdokimov</w:t>
      </w:r>
      <w:proofErr w:type="spellEnd"/>
      <w:r w:rsidRPr="00C46C4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V.L</w:t>
      </w:r>
      <w:r w:rsidR="002D30BF" w:rsidRPr="00C46C4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  <w:r w:rsidR="002D30BF" w:rsidRPr="00C46C4D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val="en-US"/>
        </w:rPr>
        <w:t>1</w:t>
      </w:r>
      <w:proofErr w:type="gramStart"/>
      <w:r w:rsidR="00CE752B" w:rsidRPr="00C46C4D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val="en-US"/>
        </w:rPr>
        <w:t>,2</w:t>
      </w:r>
      <w:proofErr w:type="gramEnd"/>
    </w:p>
    <w:p w14:paraId="06EFAA03" w14:textId="77777777" w:rsidR="00B526CC" w:rsidRPr="00C46C4D" w:rsidRDefault="00B526CC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</w:p>
    <w:p w14:paraId="01F61541" w14:textId="3D4EF897" w:rsidR="002D30BF" w:rsidRPr="00C46C4D" w:rsidRDefault="00B526CC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proofErr w:type="gramStart"/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  <w:lang w:val="en-US"/>
        </w:rPr>
        <w:t>1</w:t>
      </w:r>
      <w:proofErr w:type="gramEnd"/>
      <w:r w:rsidR="00CE752B"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  <w:lang w:val="en-US"/>
        </w:rPr>
        <w:t xml:space="preserve"> </w:t>
      </w:r>
      <w:r w:rsidR="002D30BF"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JSC «MERI»</w:t>
      </w:r>
    </w:p>
    <w:p w14:paraId="589A0BDE" w14:textId="0256881D" w:rsidR="002D30BF" w:rsidRPr="00C46C4D" w:rsidRDefault="002D30BF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proofErr w:type="gramStart"/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124460</w:t>
      </w:r>
      <w:proofErr w:type="gramEnd"/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, Russia, Moscow, </w:t>
      </w:r>
      <w:proofErr w:type="spellStart"/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Zelenograd</w:t>
      </w:r>
      <w:proofErr w:type="spellEnd"/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="00EF10BB"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Akademika</w:t>
      </w:r>
      <w:proofErr w:type="spellEnd"/>
      <w:r w:rsidR="00EF10BB"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EF10BB"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Valieva</w:t>
      </w:r>
      <w:proofErr w:type="spellEnd"/>
      <w:r w:rsidR="00EF10BB"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str.</w:t>
      </w:r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, </w:t>
      </w:r>
      <w:r w:rsidR="00EF10BB"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6</w:t>
      </w:r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/</w:t>
      </w:r>
      <w:r w:rsidR="009A47B3"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1</w:t>
      </w:r>
    </w:p>
    <w:p w14:paraId="19A39000" w14:textId="25774092" w:rsidR="00CE752B" w:rsidRPr="00C46C4D" w:rsidRDefault="00CE752B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proofErr w:type="gramStart"/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  <w:lang w:val="en-US"/>
        </w:rPr>
        <w:t>2</w:t>
      </w:r>
      <w:proofErr w:type="gramEnd"/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MIPT</w:t>
      </w:r>
    </w:p>
    <w:p w14:paraId="6AF4E1C6" w14:textId="5D3CF788" w:rsidR="00CE752B" w:rsidRPr="00C46C4D" w:rsidRDefault="00CE752B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proofErr w:type="gramStart"/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141701</w:t>
      </w:r>
      <w:proofErr w:type="gramEnd"/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, Russia, Moscow Region, </w:t>
      </w:r>
      <w:proofErr w:type="spellStart"/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Dolgoprudny</w:t>
      </w:r>
      <w:proofErr w:type="spellEnd"/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Institutskiy</w:t>
      </w:r>
      <w:proofErr w:type="spellEnd"/>
      <w:r w:rsidRPr="00C46C4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per., 9</w:t>
      </w:r>
    </w:p>
    <w:p w14:paraId="28C638C4" w14:textId="77777777" w:rsidR="002D30BF" w:rsidRPr="00C46C4D" w:rsidRDefault="002D30BF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</w:p>
    <w:p w14:paraId="577C7E02" w14:textId="77777777" w:rsidR="002D30BF" w:rsidRPr="00C46C4D" w:rsidRDefault="002D30BF" w:rsidP="00752F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46C4D">
        <w:rPr>
          <w:rFonts w:ascii="Times New Roman" w:hAnsi="Times New Roman" w:cs="Times New Roman"/>
          <w:b/>
          <w:sz w:val="20"/>
          <w:szCs w:val="20"/>
          <w:lang w:val="en-US"/>
        </w:rPr>
        <w:t>Abstract</w:t>
      </w:r>
    </w:p>
    <w:p w14:paraId="020F7D49" w14:textId="00448909" w:rsidR="002D30BF" w:rsidRPr="00C46C4D" w:rsidRDefault="00FC1314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46C4D">
        <w:rPr>
          <w:rFonts w:ascii="Times New Roman" w:hAnsi="Times New Roman" w:cs="Times New Roman"/>
          <w:color w:val="000000"/>
          <w:sz w:val="20"/>
          <w:szCs w:val="20"/>
          <w:lang w:val="en-US"/>
        </w:rPr>
        <w:t>A molecular kinetic model of the deposition of</w:t>
      </w:r>
      <w:r w:rsidR="009A1A92" w:rsidRPr="00C46C4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46C4D">
        <w:rPr>
          <w:rFonts w:ascii="Times New Roman" w:hAnsi="Times New Roman" w:cs="Times New Roman"/>
          <w:color w:val="000000"/>
          <w:sz w:val="20"/>
          <w:szCs w:val="20"/>
          <w:lang w:val="en-US"/>
        </w:rPr>
        <w:t>layers from the gas phase for heterogeneous growth conditions is considered. The model includes a diagram of the process stages and expressions for calculating their velocities and takes into account the diffusion, adsorption and chemical transformation of reagents with the formati</w:t>
      </w:r>
      <w:r w:rsidR="00FB1F42" w:rsidRPr="00C46C4D">
        <w:rPr>
          <w:rFonts w:ascii="Times New Roman" w:hAnsi="Times New Roman" w:cs="Times New Roman"/>
          <w:color w:val="000000"/>
          <w:sz w:val="20"/>
          <w:szCs w:val="20"/>
          <w:lang w:val="en-US"/>
        </w:rPr>
        <w:t>on of the main and by-products.</w:t>
      </w:r>
    </w:p>
    <w:p w14:paraId="664EFD05" w14:textId="77777777" w:rsidR="00FC1314" w:rsidRPr="00C46C4D" w:rsidRDefault="00FC1314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231DC741" w14:textId="65B639F6" w:rsidR="00161B03" w:rsidRPr="00C46C4D" w:rsidRDefault="002D30BF" w:rsidP="0075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46C4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Keywords: </w:t>
      </w:r>
      <w:r w:rsidR="00CE752B" w:rsidRPr="00C46C4D">
        <w:rPr>
          <w:rFonts w:ascii="Times New Roman" w:hAnsi="Times New Roman" w:cs="Times New Roman"/>
          <w:color w:val="000000"/>
          <w:sz w:val="20"/>
          <w:szCs w:val="20"/>
          <w:lang w:val="en-US"/>
        </w:rPr>
        <w:t>g</w:t>
      </w:r>
      <w:r w:rsidR="00FC1314" w:rsidRPr="00C46C4D">
        <w:rPr>
          <w:rFonts w:ascii="Times New Roman" w:hAnsi="Times New Roman" w:cs="Times New Roman"/>
          <w:color w:val="000000"/>
          <w:sz w:val="20"/>
          <w:szCs w:val="20"/>
          <w:lang w:val="en-US"/>
        </w:rPr>
        <w:t>as-phase deposition, heterogeneous growth, process modeling, conformality and incorporated byproducts.</w:t>
      </w:r>
    </w:p>
    <w:sectPr w:rsidR="00161B03" w:rsidRPr="00C46C4D" w:rsidSect="008915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BF"/>
    <w:rsid w:val="00066729"/>
    <w:rsid w:val="0009493C"/>
    <w:rsid w:val="00097A3A"/>
    <w:rsid w:val="000F2B54"/>
    <w:rsid w:val="00120483"/>
    <w:rsid w:val="00161B03"/>
    <w:rsid w:val="001F72AA"/>
    <w:rsid w:val="00237F90"/>
    <w:rsid w:val="00252029"/>
    <w:rsid w:val="00274710"/>
    <w:rsid w:val="002766BC"/>
    <w:rsid w:val="00286390"/>
    <w:rsid w:val="002D30BF"/>
    <w:rsid w:val="00320DDA"/>
    <w:rsid w:val="00436765"/>
    <w:rsid w:val="00542EB7"/>
    <w:rsid w:val="005A44C2"/>
    <w:rsid w:val="005A7433"/>
    <w:rsid w:val="00615A04"/>
    <w:rsid w:val="00643C1C"/>
    <w:rsid w:val="0068388A"/>
    <w:rsid w:val="007078C6"/>
    <w:rsid w:val="00733829"/>
    <w:rsid w:val="00752F41"/>
    <w:rsid w:val="007D474D"/>
    <w:rsid w:val="007D7E53"/>
    <w:rsid w:val="0084504B"/>
    <w:rsid w:val="00855A92"/>
    <w:rsid w:val="00863CB6"/>
    <w:rsid w:val="008915FE"/>
    <w:rsid w:val="00922999"/>
    <w:rsid w:val="00986D90"/>
    <w:rsid w:val="00992DB1"/>
    <w:rsid w:val="009A1A92"/>
    <w:rsid w:val="009A47B3"/>
    <w:rsid w:val="009C3564"/>
    <w:rsid w:val="009C75E1"/>
    <w:rsid w:val="00A35B22"/>
    <w:rsid w:val="00AE546F"/>
    <w:rsid w:val="00B526CC"/>
    <w:rsid w:val="00B56979"/>
    <w:rsid w:val="00B82F8F"/>
    <w:rsid w:val="00BB40AD"/>
    <w:rsid w:val="00C26367"/>
    <w:rsid w:val="00C31542"/>
    <w:rsid w:val="00C352FC"/>
    <w:rsid w:val="00C46C4D"/>
    <w:rsid w:val="00C62DA3"/>
    <w:rsid w:val="00C83EC6"/>
    <w:rsid w:val="00CE752B"/>
    <w:rsid w:val="00D24863"/>
    <w:rsid w:val="00D96119"/>
    <w:rsid w:val="00E158AC"/>
    <w:rsid w:val="00EF10BB"/>
    <w:rsid w:val="00F06C23"/>
    <w:rsid w:val="00F77CAB"/>
    <w:rsid w:val="00F83DB9"/>
    <w:rsid w:val="00FB1F42"/>
    <w:rsid w:val="00FC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6293"/>
  <w15:docId w15:val="{A246CDDA-6094-4D24-93FB-4FD037AC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078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078C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078C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078C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078C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0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8C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96119"/>
    <w:rPr>
      <w:color w:val="808080"/>
    </w:rPr>
  </w:style>
  <w:style w:type="character" w:styleId="ac">
    <w:name w:val="Hyperlink"/>
    <w:basedOn w:val="a0"/>
    <w:uiPriority w:val="99"/>
    <w:unhideWhenUsed/>
    <w:rsid w:val="00C83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E49A-E717-48D4-9306-FCAD4B5C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GOLD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Ганыкина Екатерина Андреевна</cp:lastModifiedBy>
  <cp:revision>2</cp:revision>
  <dcterms:created xsi:type="dcterms:W3CDTF">2022-05-26T07:59:00Z</dcterms:created>
  <dcterms:modified xsi:type="dcterms:W3CDTF">2022-05-26T07:59:00Z</dcterms:modified>
</cp:coreProperties>
</file>